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1DF" w:rsidRPr="00AE6F0D" w:rsidRDefault="002641DF" w:rsidP="002641DF">
      <w:pPr>
        <w:jc w:val="center"/>
        <w:rPr>
          <w:rFonts w:ascii="Arial" w:hAnsi="Arial" w:cs="Arial"/>
          <w:b/>
          <w:bCs/>
          <w:color w:val="000000"/>
          <w:sz w:val="20"/>
          <w:szCs w:val="20"/>
        </w:rPr>
      </w:pPr>
      <w:r w:rsidRPr="00AE6F0D">
        <w:rPr>
          <w:rFonts w:ascii="Arial" w:hAnsi="Arial" w:cs="Arial"/>
          <w:b/>
          <w:noProof/>
        </w:rPr>
        <w:drawing>
          <wp:anchor distT="0" distB="0" distL="0" distR="0" simplePos="0" relativeHeight="251659264" behindDoc="0" locked="0" layoutInCell="1" allowOverlap="0">
            <wp:simplePos x="0" y="0"/>
            <wp:positionH relativeFrom="column">
              <wp:posOffset>-410845</wp:posOffset>
            </wp:positionH>
            <wp:positionV relativeFrom="paragraph">
              <wp:posOffset>-914400</wp:posOffset>
            </wp:positionV>
            <wp:extent cx="6866255" cy="1184275"/>
            <wp:effectExtent l="1905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866255" cy="1184275"/>
                    </a:xfrm>
                    <a:prstGeom prst="rect">
                      <a:avLst/>
                    </a:prstGeom>
                    <a:solidFill>
                      <a:srgbClr val="FFFFFF"/>
                    </a:solidFill>
                  </pic:spPr>
                </pic:pic>
              </a:graphicData>
            </a:graphic>
          </wp:anchor>
        </w:drawing>
      </w:r>
      <w:r>
        <w:rPr>
          <w:rFonts w:ascii="Arial" w:hAnsi="Arial" w:cs="Arial"/>
          <w:b/>
          <w:noProof/>
        </w:rPr>
        <w:t xml:space="preserve">        </w:t>
      </w:r>
      <w:r w:rsidRPr="00AE6F0D">
        <w:rPr>
          <w:rFonts w:ascii="Arial" w:hAnsi="Arial" w:cs="Arial"/>
          <w:b/>
          <w:noProof/>
        </w:rPr>
        <w:t>Brussels Policy Briefing no. 28</w:t>
      </w:r>
    </w:p>
    <w:p w:rsidR="002641DF" w:rsidRPr="00AE6F0D" w:rsidRDefault="002641DF" w:rsidP="002641DF">
      <w:pPr>
        <w:pStyle w:val="ListParagraph"/>
        <w:jc w:val="center"/>
        <w:rPr>
          <w:rFonts w:ascii="Arial" w:hAnsi="Arial" w:cs="Arial"/>
          <w:b/>
          <w:bCs/>
          <w:i/>
          <w:sz w:val="24"/>
          <w:szCs w:val="20"/>
        </w:rPr>
      </w:pPr>
      <w:r w:rsidRPr="00AE6F0D">
        <w:rPr>
          <w:rFonts w:ascii="Arial" w:hAnsi="Arial" w:cs="Arial"/>
          <w:b/>
          <w:bCs/>
          <w:i/>
          <w:sz w:val="24"/>
          <w:szCs w:val="20"/>
        </w:rPr>
        <w:t>Addressing Food Waste in Times of Crisis</w:t>
      </w:r>
    </w:p>
    <w:p w:rsidR="002641DF" w:rsidRPr="00AE6F0D" w:rsidRDefault="002641DF" w:rsidP="002641DF">
      <w:pPr>
        <w:pStyle w:val="ListParagraph"/>
        <w:jc w:val="center"/>
        <w:rPr>
          <w:rFonts w:ascii="Arial" w:hAnsi="Arial" w:cs="Arial"/>
          <w:bCs/>
          <w:i/>
          <w:szCs w:val="20"/>
        </w:rPr>
      </w:pPr>
      <w:r w:rsidRPr="00AE6F0D">
        <w:rPr>
          <w:rFonts w:ascii="Arial" w:hAnsi="Arial" w:cs="Arial"/>
          <w:bCs/>
          <w:i/>
          <w:szCs w:val="20"/>
        </w:rPr>
        <w:t>26 June 2012</w:t>
      </w:r>
    </w:p>
    <w:p w:rsidR="002641DF" w:rsidRPr="00AE6F0D" w:rsidRDefault="002641DF" w:rsidP="002641DF">
      <w:pPr>
        <w:pStyle w:val="ListParagraph"/>
        <w:jc w:val="center"/>
        <w:rPr>
          <w:rFonts w:ascii="Arial" w:hAnsi="Arial" w:cs="Arial"/>
          <w:bCs/>
          <w:i/>
          <w:szCs w:val="20"/>
        </w:rPr>
      </w:pPr>
      <w:r w:rsidRPr="00AE6F0D">
        <w:rPr>
          <w:rFonts w:ascii="Arial" w:hAnsi="Arial" w:cs="Arial"/>
          <w:bCs/>
          <w:i/>
          <w:szCs w:val="20"/>
        </w:rPr>
        <w:t xml:space="preserve">European Commission, </w:t>
      </w:r>
      <w:proofErr w:type="spellStart"/>
      <w:r w:rsidRPr="00AE6F0D">
        <w:rPr>
          <w:rFonts w:ascii="Arial" w:hAnsi="Arial" w:cs="Arial"/>
          <w:bCs/>
          <w:i/>
          <w:szCs w:val="20"/>
        </w:rPr>
        <w:t>Borschette</w:t>
      </w:r>
      <w:proofErr w:type="spellEnd"/>
      <w:r w:rsidRPr="00AE6F0D">
        <w:rPr>
          <w:rFonts w:ascii="Arial" w:hAnsi="Arial" w:cs="Arial"/>
          <w:bCs/>
          <w:i/>
          <w:szCs w:val="20"/>
        </w:rPr>
        <w:t xml:space="preserve"> Building, Room 2D</w:t>
      </w:r>
    </w:p>
    <w:p w:rsidR="002641DF" w:rsidRPr="00AE6F0D" w:rsidRDefault="002641DF" w:rsidP="002641DF">
      <w:pPr>
        <w:pStyle w:val="ListParagraph"/>
        <w:jc w:val="center"/>
        <w:rPr>
          <w:rFonts w:ascii="Arial" w:hAnsi="Arial" w:cs="Arial"/>
          <w:sz w:val="24"/>
          <w:szCs w:val="24"/>
        </w:rPr>
      </w:pPr>
      <w:hyperlink r:id="rId5" w:history="1">
        <w:r w:rsidRPr="00AE6F0D">
          <w:rPr>
            <w:rStyle w:val="Hyperlink"/>
            <w:rFonts w:ascii="Arial" w:hAnsi="Arial" w:cs="Arial"/>
          </w:rPr>
          <w:t>http://brusselsbriefings.net</w:t>
        </w:r>
      </w:hyperlink>
      <w:r w:rsidRPr="00AE6F0D">
        <w:rPr>
          <w:rFonts w:ascii="Arial" w:hAnsi="Arial" w:cs="Arial"/>
        </w:rPr>
        <w:t xml:space="preserve"> </w:t>
      </w:r>
    </w:p>
    <w:p w:rsidR="002641DF" w:rsidRDefault="002641DF" w:rsidP="002641DF"/>
    <w:p w:rsidR="002641DF" w:rsidRDefault="002641DF" w:rsidP="002641DF">
      <w:pPr>
        <w:pStyle w:val="ListParagraph"/>
        <w:pBdr>
          <w:top w:val="single" w:sz="4" w:space="0" w:color="auto"/>
          <w:left w:val="single" w:sz="4" w:space="18" w:color="auto"/>
          <w:bottom w:val="single" w:sz="4" w:space="0" w:color="auto"/>
          <w:right w:val="single" w:sz="4" w:space="4" w:color="auto"/>
        </w:pBdr>
        <w:spacing w:line="360" w:lineRule="auto"/>
        <w:ind w:hanging="360"/>
        <w:jc w:val="center"/>
        <w:rPr>
          <w:rFonts w:ascii="Arial" w:hAnsi="Arial" w:cs="Arial"/>
          <w:b/>
          <w:color w:val="000000"/>
          <w:sz w:val="20"/>
          <w:szCs w:val="20"/>
        </w:rPr>
      </w:pPr>
    </w:p>
    <w:p w:rsidR="002641DF" w:rsidRPr="00AE6F0D" w:rsidRDefault="002641DF" w:rsidP="002641DF">
      <w:pPr>
        <w:pStyle w:val="ListParagraph"/>
        <w:pBdr>
          <w:top w:val="single" w:sz="4" w:space="0" w:color="auto"/>
          <w:left w:val="single" w:sz="4" w:space="18" w:color="auto"/>
          <w:bottom w:val="single" w:sz="4" w:space="0" w:color="auto"/>
          <w:right w:val="single" w:sz="4" w:space="4" w:color="auto"/>
        </w:pBdr>
        <w:spacing w:line="360" w:lineRule="auto"/>
        <w:ind w:hanging="360"/>
        <w:jc w:val="center"/>
        <w:rPr>
          <w:rFonts w:ascii="Arial" w:hAnsi="Arial" w:cs="Arial"/>
          <w:b/>
          <w:color w:val="000000"/>
          <w:sz w:val="24"/>
          <w:szCs w:val="20"/>
        </w:rPr>
      </w:pPr>
      <w:r>
        <w:rPr>
          <w:rFonts w:ascii="Arial" w:hAnsi="Arial" w:cs="Arial"/>
          <w:b/>
          <w:color w:val="000000"/>
          <w:sz w:val="24"/>
          <w:szCs w:val="20"/>
        </w:rPr>
        <w:t>Food Losses and Food Waste – A Global Perspective</w:t>
      </w:r>
    </w:p>
    <w:p w:rsidR="002641DF" w:rsidRDefault="002641DF" w:rsidP="002641DF">
      <w:pPr>
        <w:pStyle w:val="ListParagraph"/>
        <w:pBdr>
          <w:top w:val="single" w:sz="4" w:space="0" w:color="auto"/>
          <w:left w:val="single" w:sz="4" w:space="18" w:color="auto"/>
          <w:bottom w:val="single" w:sz="4" w:space="0" w:color="auto"/>
          <w:right w:val="single" w:sz="4" w:space="4" w:color="auto"/>
        </w:pBdr>
        <w:spacing w:line="360" w:lineRule="auto"/>
        <w:ind w:hanging="360"/>
        <w:jc w:val="center"/>
        <w:rPr>
          <w:rFonts w:ascii="Arial" w:hAnsi="Arial" w:cs="Arial"/>
          <w:b/>
          <w:color w:val="000000"/>
          <w:szCs w:val="20"/>
        </w:rPr>
      </w:pPr>
    </w:p>
    <w:p w:rsidR="002641DF" w:rsidRDefault="002641DF" w:rsidP="002641DF">
      <w:pPr>
        <w:pStyle w:val="ListParagraph"/>
        <w:pBdr>
          <w:top w:val="single" w:sz="4" w:space="0" w:color="auto"/>
          <w:left w:val="single" w:sz="4" w:space="18" w:color="auto"/>
          <w:bottom w:val="single" w:sz="4" w:space="0" w:color="auto"/>
          <w:right w:val="single" w:sz="4" w:space="4" w:color="auto"/>
        </w:pBdr>
        <w:spacing w:line="360" w:lineRule="auto"/>
        <w:ind w:hanging="360"/>
        <w:jc w:val="center"/>
        <w:rPr>
          <w:rFonts w:ascii="Arial" w:hAnsi="Arial" w:cs="Arial"/>
          <w:b/>
          <w:color w:val="000000"/>
          <w:sz w:val="20"/>
          <w:szCs w:val="20"/>
        </w:rPr>
      </w:pPr>
      <w:r>
        <w:rPr>
          <w:rFonts w:ascii="Arial" w:hAnsi="Arial" w:cs="Arial"/>
          <w:b/>
          <w:color w:val="000000"/>
          <w:sz w:val="20"/>
          <w:szCs w:val="20"/>
        </w:rPr>
        <w:t xml:space="preserve">Robert van </w:t>
      </w:r>
      <w:proofErr w:type="spellStart"/>
      <w:r>
        <w:rPr>
          <w:rFonts w:ascii="Arial" w:hAnsi="Arial" w:cs="Arial"/>
          <w:b/>
          <w:color w:val="000000"/>
          <w:sz w:val="20"/>
          <w:szCs w:val="20"/>
        </w:rPr>
        <w:t>Otterdijk</w:t>
      </w:r>
      <w:proofErr w:type="spellEnd"/>
      <w:r>
        <w:rPr>
          <w:rFonts w:ascii="Arial" w:hAnsi="Arial" w:cs="Arial"/>
          <w:b/>
          <w:color w:val="000000"/>
          <w:sz w:val="20"/>
          <w:szCs w:val="20"/>
        </w:rPr>
        <w:t xml:space="preserve"> </w:t>
      </w:r>
    </w:p>
    <w:p w:rsidR="002641DF" w:rsidRPr="002641DF" w:rsidRDefault="002641DF" w:rsidP="002641DF">
      <w:pPr>
        <w:pStyle w:val="ListParagraph"/>
        <w:pBdr>
          <w:top w:val="single" w:sz="4" w:space="0" w:color="auto"/>
          <w:left w:val="single" w:sz="4" w:space="18" w:color="auto"/>
          <w:bottom w:val="single" w:sz="4" w:space="0" w:color="auto"/>
          <w:right w:val="single" w:sz="4" w:space="4" w:color="auto"/>
        </w:pBdr>
        <w:spacing w:line="360" w:lineRule="auto"/>
        <w:ind w:hanging="360"/>
        <w:jc w:val="center"/>
        <w:rPr>
          <w:rFonts w:ascii="Arial" w:hAnsi="Arial" w:cs="Arial"/>
          <w:b/>
          <w:color w:val="000000"/>
          <w:sz w:val="20"/>
          <w:szCs w:val="20"/>
        </w:rPr>
      </w:pPr>
      <w:r>
        <w:rPr>
          <w:rFonts w:ascii="Arial" w:hAnsi="Arial" w:cs="Arial"/>
          <w:b/>
          <w:color w:val="000000"/>
          <w:sz w:val="20"/>
          <w:szCs w:val="20"/>
        </w:rPr>
        <w:t>Agro-Industry Officer, Rural Infrastructure &amp; Agro-Industries Division, FAO</w:t>
      </w:r>
    </w:p>
    <w:p w:rsidR="002641DF" w:rsidRPr="00BD0EB6" w:rsidRDefault="002641DF" w:rsidP="002641DF">
      <w:pPr>
        <w:pStyle w:val="ListParagraph"/>
        <w:pBdr>
          <w:top w:val="single" w:sz="4" w:space="0" w:color="auto"/>
          <w:left w:val="single" w:sz="4" w:space="18" w:color="auto"/>
          <w:bottom w:val="single" w:sz="4" w:space="0" w:color="auto"/>
          <w:right w:val="single" w:sz="4" w:space="4" w:color="auto"/>
        </w:pBdr>
        <w:spacing w:line="360" w:lineRule="auto"/>
        <w:ind w:hanging="360"/>
        <w:jc w:val="center"/>
        <w:rPr>
          <w:rFonts w:ascii="Arial" w:hAnsi="Arial" w:cs="Arial"/>
          <w:b/>
          <w:color w:val="000000"/>
          <w:szCs w:val="20"/>
        </w:rPr>
      </w:pPr>
    </w:p>
    <w:p w:rsidR="002641DF" w:rsidRDefault="002641DF" w:rsidP="002641DF">
      <w:pPr>
        <w:pStyle w:val="ListParagraph"/>
        <w:pBdr>
          <w:top w:val="single" w:sz="4" w:space="0" w:color="auto"/>
          <w:left w:val="single" w:sz="4" w:space="18" w:color="auto"/>
          <w:bottom w:val="single" w:sz="4" w:space="0" w:color="auto"/>
          <w:right w:val="single" w:sz="4" w:space="4" w:color="auto"/>
        </w:pBdr>
        <w:spacing w:line="360" w:lineRule="auto"/>
        <w:ind w:hanging="360"/>
        <w:jc w:val="center"/>
        <w:rPr>
          <w:rFonts w:ascii="Arial" w:hAnsi="Arial" w:cs="Arial"/>
          <w:b/>
          <w:i/>
          <w:color w:val="000000"/>
          <w:szCs w:val="20"/>
          <w:u w:val="single"/>
        </w:rPr>
      </w:pPr>
      <w:r w:rsidRPr="00AE6F0D">
        <w:rPr>
          <w:rFonts w:ascii="Arial" w:hAnsi="Arial" w:cs="Arial"/>
          <w:b/>
          <w:i/>
          <w:color w:val="000000"/>
          <w:szCs w:val="20"/>
          <w:u w:val="single"/>
        </w:rPr>
        <w:t>Executive Summary</w:t>
      </w:r>
    </w:p>
    <w:p w:rsidR="002641DF" w:rsidRPr="00AE6F0D" w:rsidRDefault="002641DF" w:rsidP="002641DF">
      <w:pPr>
        <w:pStyle w:val="ListParagraph"/>
        <w:pBdr>
          <w:top w:val="single" w:sz="4" w:space="0" w:color="auto"/>
          <w:left w:val="single" w:sz="4" w:space="18" w:color="auto"/>
          <w:bottom w:val="single" w:sz="4" w:space="0" w:color="auto"/>
          <w:right w:val="single" w:sz="4" w:space="4" w:color="auto"/>
        </w:pBdr>
        <w:spacing w:line="360" w:lineRule="auto"/>
        <w:ind w:hanging="360"/>
        <w:jc w:val="center"/>
        <w:rPr>
          <w:rFonts w:ascii="Arial" w:hAnsi="Arial" w:cs="Arial"/>
          <w:b/>
          <w:i/>
          <w:color w:val="000000"/>
          <w:szCs w:val="20"/>
          <w:u w:val="single"/>
        </w:rPr>
      </w:pPr>
    </w:p>
    <w:p w:rsidR="002641DF" w:rsidRDefault="002641DF" w:rsidP="002641DF">
      <w:pPr>
        <w:autoSpaceDE w:val="0"/>
        <w:autoSpaceDN w:val="0"/>
        <w:adjustRightInd w:val="0"/>
        <w:jc w:val="both"/>
        <w:rPr>
          <w:rFonts w:ascii="Arial" w:eastAsia="Times New Roman" w:hAnsi="Arial" w:cs="Arial"/>
          <w:color w:val="000000"/>
          <w:sz w:val="20"/>
        </w:rPr>
      </w:pPr>
    </w:p>
    <w:p w:rsidR="002641DF" w:rsidRDefault="002641DF" w:rsidP="002641DF">
      <w:pPr>
        <w:spacing w:after="0"/>
        <w:jc w:val="both"/>
        <w:rPr>
          <w:rFonts w:ascii="Arial" w:hAnsi="Arial" w:cs="Arial"/>
          <w:b/>
          <w:sz w:val="20"/>
          <w:szCs w:val="20"/>
        </w:rPr>
      </w:pPr>
      <w:r w:rsidRPr="002641DF">
        <w:rPr>
          <w:rFonts w:ascii="Arial" w:hAnsi="Arial" w:cs="Arial"/>
          <w:b/>
          <w:sz w:val="20"/>
          <w:szCs w:val="20"/>
        </w:rPr>
        <w:t>Food losses and waste levels are high and depend on specific conditions</w:t>
      </w:r>
    </w:p>
    <w:p w:rsidR="002641DF" w:rsidRPr="002641DF" w:rsidRDefault="002641DF" w:rsidP="002641DF">
      <w:pPr>
        <w:spacing w:after="0"/>
        <w:jc w:val="both"/>
        <w:rPr>
          <w:rFonts w:ascii="Arial" w:hAnsi="Arial" w:cs="Arial"/>
          <w:b/>
          <w:sz w:val="20"/>
          <w:szCs w:val="20"/>
        </w:rPr>
      </w:pPr>
    </w:p>
    <w:p w:rsidR="002641DF" w:rsidRPr="002641DF" w:rsidRDefault="002641DF" w:rsidP="002641DF">
      <w:pPr>
        <w:spacing w:after="0"/>
        <w:jc w:val="both"/>
        <w:rPr>
          <w:rFonts w:ascii="Arial" w:hAnsi="Arial" w:cs="Arial"/>
          <w:sz w:val="20"/>
          <w:szCs w:val="20"/>
        </w:rPr>
      </w:pPr>
      <w:r w:rsidRPr="002641DF">
        <w:rPr>
          <w:rFonts w:ascii="Arial" w:hAnsi="Arial" w:cs="Arial"/>
          <w:sz w:val="20"/>
          <w:szCs w:val="20"/>
        </w:rPr>
        <w:t>Food losses refer to the decrease in edible food mass available for human consumption throughout the different segments of the supply chain. In addition to quantitative losses, food products can also face a deterioration of quality, leading to a loss of economic and nutritional value. Food losses resulting from decisions to discard food that still has value to others are also called “food waste”. Food waste is most often associated with the behavior of retailers, the food service sector and high income consumers.</w:t>
      </w:r>
    </w:p>
    <w:p w:rsidR="002641DF" w:rsidRPr="002641DF" w:rsidRDefault="002641DF" w:rsidP="002641DF">
      <w:pPr>
        <w:spacing w:after="0"/>
        <w:jc w:val="both"/>
        <w:rPr>
          <w:rFonts w:ascii="Arial" w:hAnsi="Arial" w:cs="Arial"/>
          <w:sz w:val="20"/>
          <w:szCs w:val="20"/>
        </w:rPr>
      </w:pPr>
      <w:r w:rsidRPr="002641DF">
        <w:rPr>
          <w:rFonts w:ascii="Arial" w:hAnsi="Arial" w:cs="Arial"/>
          <w:sz w:val="20"/>
          <w:szCs w:val="20"/>
        </w:rPr>
        <w:t>Recent studies commissioned by FAO estimated yearly global quantitative food losses and waste at roughly 30% for cereals, 40-50% for root crops, fruits &amp; vegetables, 20% for oilseeds, meat and dairy, and 30% for fish.</w:t>
      </w:r>
    </w:p>
    <w:p w:rsidR="002641DF" w:rsidRPr="002641DF" w:rsidRDefault="002641DF" w:rsidP="002641DF">
      <w:pPr>
        <w:spacing w:after="0"/>
        <w:jc w:val="both"/>
        <w:rPr>
          <w:rFonts w:ascii="Arial" w:hAnsi="Arial" w:cs="Arial"/>
          <w:sz w:val="20"/>
          <w:szCs w:val="20"/>
        </w:rPr>
      </w:pPr>
      <w:r w:rsidRPr="002641DF">
        <w:rPr>
          <w:rFonts w:ascii="Arial" w:hAnsi="Arial" w:cs="Arial"/>
          <w:sz w:val="20"/>
          <w:szCs w:val="20"/>
        </w:rPr>
        <w:t>The causes of food losses and waste in low-income countries are due to wide-ranging man</w:t>
      </w:r>
      <w:r w:rsidRPr="002641DF">
        <w:rPr>
          <w:rFonts w:ascii="Arial" w:hAnsi="Arial" w:cs="Arial"/>
          <w:sz w:val="20"/>
          <w:szCs w:val="20"/>
        </w:rPr>
        <w:t>a</w:t>
      </w:r>
      <w:r w:rsidRPr="002641DF">
        <w:rPr>
          <w:rFonts w:ascii="Arial" w:hAnsi="Arial" w:cs="Arial"/>
          <w:sz w:val="20"/>
          <w:szCs w:val="20"/>
        </w:rPr>
        <w:t>gerial and technical limitations in harvesting techniques, storage, transportation, processing, cooling facilities, infrastructure, packaging and marketing systems. The main sectors of co</w:t>
      </w:r>
      <w:r w:rsidRPr="002641DF">
        <w:rPr>
          <w:rFonts w:ascii="Arial" w:hAnsi="Arial" w:cs="Arial"/>
          <w:sz w:val="20"/>
          <w:szCs w:val="20"/>
        </w:rPr>
        <w:t>n</w:t>
      </w:r>
      <w:r w:rsidRPr="002641DF">
        <w:rPr>
          <w:rFonts w:ascii="Arial" w:hAnsi="Arial" w:cs="Arial"/>
          <w:sz w:val="20"/>
          <w:szCs w:val="20"/>
        </w:rPr>
        <w:t xml:space="preserve">cern are small and medium scale fisheries, agricultural production and processing. </w:t>
      </w:r>
    </w:p>
    <w:p w:rsidR="002641DF" w:rsidRDefault="002641DF" w:rsidP="002641DF">
      <w:pPr>
        <w:spacing w:after="0"/>
        <w:jc w:val="both"/>
        <w:rPr>
          <w:rFonts w:ascii="Arial" w:hAnsi="Arial" w:cs="Arial"/>
          <w:sz w:val="20"/>
          <w:szCs w:val="20"/>
        </w:rPr>
      </w:pPr>
      <w:r w:rsidRPr="002641DF">
        <w:rPr>
          <w:rFonts w:ascii="Arial" w:hAnsi="Arial" w:cs="Arial"/>
          <w:sz w:val="20"/>
          <w:szCs w:val="20"/>
        </w:rPr>
        <w:t>The causes of food losses and waste in medium and high-income countries mainly relate to consumer behavior as well as to policies and regulations put in place (e.g. agricultural subs</w:t>
      </w:r>
      <w:r w:rsidRPr="002641DF">
        <w:rPr>
          <w:rFonts w:ascii="Arial" w:hAnsi="Arial" w:cs="Arial"/>
          <w:sz w:val="20"/>
          <w:szCs w:val="20"/>
        </w:rPr>
        <w:t>i</w:t>
      </w:r>
      <w:r w:rsidRPr="002641DF">
        <w:rPr>
          <w:rFonts w:ascii="Arial" w:hAnsi="Arial" w:cs="Arial"/>
          <w:sz w:val="20"/>
          <w:szCs w:val="20"/>
        </w:rPr>
        <w:t xml:space="preserve">dies) to address other </w:t>
      </w:r>
      <w:proofErr w:type="spellStart"/>
      <w:r w:rsidRPr="002641DF">
        <w:rPr>
          <w:rFonts w:ascii="Arial" w:hAnsi="Arial" w:cs="Arial"/>
          <w:sz w:val="20"/>
          <w:szCs w:val="20"/>
        </w:rPr>
        <w:t>sectoral</w:t>
      </w:r>
      <w:proofErr w:type="spellEnd"/>
      <w:r w:rsidRPr="002641DF">
        <w:rPr>
          <w:rFonts w:ascii="Arial" w:hAnsi="Arial" w:cs="Arial"/>
          <w:sz w:val="20"/>
          <w:szCs w:val="20"/>
        </w:rPr>
        <w:t xml:space="preserve"> priorities. Food safety and quality standards can be applied in ways that remove food that is still safe for human consumption from the food supply chain. At the consumer level, insufficient purchase planning and failure to use food before expiry dates also lead to avoidable food waste.</w:t>
      </w:r>
    </w:p>
    <w:p w:rsidR="002641DF" w:rsidRPr="002641DF" w:rsidRDefault="002641DF" w:rsidP="002641DF">
      <w:pPr>
        <w:spacing w:after="0"/>
        <w:jc w:val="both"/>
        <w:rPr>
          <w:rFonts w:ascii="Arial" w:hAnsi="Arial" w:cs="Arial"/>
          <w:sz w:val="20"/>
          <w:szCs w:val="20"/>
        </w:rPr>
      </w:pPr>
    </w:p>
    <w:p w:rsidR="002641DF" w:rsidRDefault="002641DF" w:rsidP="002641DF">
      <w:pPr>
        <w:spacing w:after="0"/>
        <w:jc w:val="both"/>
        <w:rPr>
          <w:rFonts w:ascii="Arial" w:hAnsi="Arial" w:cs="Arial"/>
          <w:b/>
          <w:sz w:val="20"/>
          <w:szCs w:val="20"/>
        </w:rPr>
      </w:pPr>
      <w:r w:rsidRPr="002641DF">
        <w:rPr>
          <w:rFonts w:ascii="Arial" w:hAnsi="Arial" w:cs="Arial"/>
          <w:b/>
          <w:sz w:val="20"/>
          <w:szCs w:val="20"/>
        </w:rPr>
        <w:t>The impacts of food losses and waste are multi-faceted</w:t>
      </w:r>
    </w:p>
    <w:p w:rsidR="002641DF" w:rsidRPr="002641DF" w:rsidRDefault="002641DF" w:rsidP="002641DF">
      <w:pPr>
        <w:spacing w:after="0"/>
        <w:jc w:val="both"/>
        <w:rPr>
          <w:rFonts w:ascii="Arial" w:hAnsi="Arial" w:cs="Arial"/>
          <w:b/>
          <w:sz w:val="20"/>
          <w:szCs w:val="20"/>
        </w:rPr>
      </w:pPr>
    </w:p>
    <w:p w:rsidR="002641DF" w:rsidRPr="002641DF" w:rsidRDefault="002641DF" w:rsidP="002641DF">
      <w:pPr>
        <w:spacing w:after="0"/>
        <w:jc w:val="both"/>
        <w:rPr>
          <w:rFonts w:ascii="Arial" w:hAnsi="Arial" w:cs="Arial"/>
          <w:sz w:val="20"/>
          <w:szCs w:val="20"/>
        </w:rPr>
      </w:pPr>
      <w:r w:rsidRPr="002641DF">
        <w:rPr>
          <w:rFonts w:ascii="Arial" w:hAnsi="Arial" w:cs="Arial"/>
          <w:sz w:val="20"/>
          <w:szCs w:val="20"/>
        </w:rPr>
        <w:t xml:space="preserve">Total food losses globally have been estimated at 1.3 billion tons per year, which is roughly one-third of the world food production for human consumption. </w:t>
      </w:r>
    </w:p>
    <w:p w:rsidR="002641DF" w:rsidRDefault="002641DF" w:rsidP="002641DF">
      <w:pPr>
        <w:spacing w:after="0"/>
        <w:jc w:val="both"/>
        <w:rPr>
          <w:rFonts w:ascii="Arial" w:hAnsi="Arial" w:cs="Arial"/>
          <w:sz w:val="20"/>
          <w:szCs w:val="20"/>
        </w:rPr>
      </w:pPr>
      <w:r w:rsidRPr="002641DF">
        <w:rPr>
          <w:rFonts w:ascii="Arial" w:hAnsi="Arial" w:cs="Arial"/>
          <w:sz w:val="20"/>
          <w:szCs w:val="20"/>
        </w:rPr>
        <w:t>Food losses have a high</w:t>
      </w:r>
      <w:r w:rsidRPr="002641DF">
        <w:rPr>
          <w:rFonts w:ascii="Arial" w:hAnsi="Arial" w:cs="Arial"/>
          <w:i/>
          <w:sz w:val="20"/>
          <w:szCs w:val="20"/>
        </w:rPr>
        <w:t xml:space="preserve"> impact on</w:t>
      </w:r>
      <w:r w:rsidRPr="002641DF">
        <w:rPr>
          <w:rFonts w:ascii="Arial" w:hAnsi="Arial" w:cs="Arial"/>
          <w:sz w:val="20"/>
          <w:szCs w:val="20"/>
        </w:rPr>
        <w:t xml:space="preserve"> </w:t>
      </w:r>
      <w:r w:rsidRPr="002641DF">
        <w:rPr>
          <w:rFonts w:ascii="Arial" w:hAnsi="Arial" w:cs="Arial"/>
          <w:i/>
          <w:sz w:val="20"/>
          <w:szCs w:val="20"/>
        </w:rPr>
        <w:t>food security</w:t>
      </w:r>
      <w:r w:rsidRPr="002641DF">
        <w:rPr>
          <w:rFonts w:ascii="Arial" w:hAnsi="Arial" w:cs="Arial"/>
          <w:sz w:val="20"/>
          <w:szCs w:val="20"/>
        </w:rPr>
        <w:t xml:space="preserve">, especially for the poor smallholder food producer and the poor food insecure consumer. Qualitative food losses may cause a </w:t>
      </w:r>
      <w:r w:rsidRPr="002641DF">
        <w:rPr>
          <w:rFonts w:ascii="Arial" w:hAnsi="Arial" w:cs="Arial"/>
          <w:i/>
          <w:sz w:val="20"/>
          <w:szCs w:val="20"/>
        </w:rPr>
        <w:t>reduced nutritional value</w:t>
      </w:r>
      <w:r w:rsidRPr="002641DF">
        <w:rPr>
          <w:rFonts w:ascii="Arial" w:hAnsi="Arial" w:cs="Arial"/>
          <w:sz w:val="20"/>
          <w:szCs w:val="20"/>
        </w:rPr>
        <w:t xml:space="preserve">; low </w:t>
      </w:r>
      <w:r w:rsidRPr="002641DF">
        <w:rPr>
          <w:rFonts w:ascii="Arial" w:hAnsi="Arial" w:cs="Arial"/>
          <w:sz w:val="20"/>
          <w:szCs w:val="20"/>
        </w:rPr>
        <w:lastRenderedPageBreak/>
        <w:t xml:space="preserve">quality products may also be unsafe with adverse effects on the health, wellbeing and productivity of the consumer. </w:t>
      </w:r>
      <w:r w:rsidRPr="002641DF">
        <w:rPr>
          <w:rFonts w:ascii="Arial" w:hAnsi="Arial" w:cs="Arial"/>
          <w:i/>
          <w:sz w:val="20"/>
          <w:szCs w:val="20"/>
        </w:rPr>
        <w:t>Economic and distributional impacts.</w:t>
      </w:r>
      <w:r w:rsidRPr="002641DF">
        <w:rPr>
          <w:rFonts w:ascii="Arial" w:hAnsi="Arial" w:cs="Arial"/>
          <w:sz w:val="20"/>
          <w:szCs w:val="20"/>
        </w:rPr>
        <w:t xml:space="preserve"> The distr</w:t>
      </w:r>
      <w:r w:rsidRPr="002641DF">
        <w:rPr>
          <w:rFonts w:ascii="Arial" w:hAnsi="Arial" w:cs="Arial"/>
          <w:sz w:val="20"/>
          <w:szCs w:val="20"/>
        </w:rPr>
        <w:t>i</w:t>
      </w:r>
      <w:r w:rsidRPr="002641DF">
        <w:rPr>
          <w:rFonts w:ascii="Arial" w:hAnsi="Arial" w:cs="Arial"/>
          <w:sz w:val="20"/>
          <w:szCs w:val="20"/>
        </w:rPr>
        <w:t xml:space="preserve">bution of economic benefits from reductions in food loss and waste depends critically on market circumstances and where in the supply chain losses are reduced. Food losses and waste have negative </w:t>
      </w:r>
      <w:r w:rsidRPr="002641DF">
        <w:rPr>
          <w:rFonts w:ascii="Arial" w:hAnsi="Arial" w:cs="Arial"/>
          <w:i/>
          <w:sz w:val="20"/>
          <w:szCs w:val="20"/>
        </w:rPr>
        <w:t>environmental impacts</w:t>
      </w:r>
      <w:r w:rsidRPr="002641DF">
        <w:rPr>
          <w:rFonts w:ascii="Arial" w:hAnsi="Arial" w:cs="Arial"/>
          <w:sz w:val="20"/>
          <w:szCs w:val="20"/>
        </w:rPr>
        <w:t xml:space="preserve"> due to the water, soil, and other resources embe</w:t>
      </w:r>
      <w:r w:rsidRPr="002641DF">
        <w:rPr>
          <w:rFonts w:ascii="Arial" w:hAnsi="Arial" w:cs="Arial"/>
          <w:sz w:val="20"/>
          <w:szCs w:val="20"/>
        </w:rPr>
        <w:t>d</w:t>
      </w:r>
      <w:r w:rsidRPr="002641DF">
        <w:rPr>
          <w:rFonts w:ascii="Arial" w:hAnsi="Arial" w:cs="Arial"/>
          <w:sz w:val="20"/>
          <w:szCs w:val="20"/>
        </w:rPr>
        <w:t xml:space="preserve">ded in the food no one consumes, as well as the emission of greenhouse gases. </w:t>
      </w:r>
    </w:p>
    <w:p w:rsidR="002641DF" w:rsidRPr="002641DF" w:rsidRDefault="002641DF" w:rsidP="002641DF">
      <w:pPr>
        <w:spacing w:after="0"/>
        <w:jc w:val="both"/>
        <w:rPr>
          <w:rFonts w:ascii="Arial" w:hAnsi="Arial" w:cs="Arial"/>
          <w:sz w:val="20"/>
          <w:szCs w:val="20"/>
        </w:rPr>
      </w:pPr>
    </w:p>
    <w:p w:rsidR="002641DF" w:rsidRDefault="002641DF" w:rsidP="002641DF">
      <w:pPr>
        <w:spacing w:after="0"/>
        <w:jc w:val="both"/>
        <w:rPr>
          <w:rFonts w:ascii="Arial" w:hAnsi="Arial" w:cs="Arial"/>
          <w:b/>
          <w:sz w:val="20"/>
          <w:szCs w:val="20"/>
        </w:rPr>
      </w:pPr>
      <w:r w:rsidRPr="002641DF">
        <w:rPr>
          <w:rFonts w:ascii="Arial" w:hAnsi="Arial" w:cs="Arial"/>
          <w:b/>
          <w:sz w:val="20"/>
          <w:szCs w:val="20"/>
        </w:rPr>
        <w:t>Strategies for reducing food losses and waste are being adjusted</w:t>
      </w:r>
    </w:p>
    <w:p w:rsidR="002641DF" w:rsidRPr="002641DF" w:rsidRDefault="002641DF" w:rsidP="002641DF">
      <w:pPr>
        <w:spacing w:after="0"/>
        <w:jc w:val="both"/>
        <w:rPr>
          <w:rFonts w:ascii="Arial" w:hAnsi="Arial" w:cs="Arial"/>
          <w:b/>
          <w:sz w:val="20"/>
          <w:szCs w:val="20"/>
        </w:rPr>
      </w:pPr>
    </w:p>
    <w:p w:rsidR="002641DF" w:rsidRPr="002641DF" w:rsidRDefault="002641DF" w:rsidP="002641DF">
      <w:pPr>
        <w:spacing w:after="0"/>
        <w:jc w:val="both"/>
        <w:rPr>
          <w:rFonts w:ascii="Arial" w:hAnsi="Arial" w:cs="Arial"/>
          <w:sz w:val="20"/>
          <w:szCs w:val="20"/>
        </w:rPr>
      </w:pPr>
      <w:r w:rsidRPr="002641DF">
        <w:rPr>
          <w:rFonts w:ascii="Arial" w:hAnsi="Arial" w:cs="Arial"/>
          <w:sz w:val="20"/>
          <w:szCs w:val="20"/>
        </w:rPr>
        <w:t xml:space="preserve">New strategies and intervention approaches are needed due to a number of factors such as the growing influence of private sector led enterprise, global market integration, urbanization, growing south-south food trade, and the associated ‘lengthening’ of food chains. </w:t>
      </w:r>
    </w:p>
    <w:p w:rsidR="002641DF" w:rsidRPr="002641DF" w:rsidRDefault="002641DF" w:rsidP="002641DF">
      <w:pPr>
        <w:spacing w:after="0"/>
        <w:jc w:val="both"/>
        <w:rPr>
          <w:rFonts w:ascii="Arial" w:hAnsi="Arial" w:cs="Arial"/>
          <w:sz w:val="20"/>
          <w:szCs w:val="20"/>
        </w:rPr>
      </w:pPr>
      <w:r w:rsidRPr="002641DF">
        <w:rPr>
          <w:rFonts w:ascii="Arial" w:hAnsi="Arial" w:cs="Arial"/>
          <w:sz w:val="20"/>
          <w:szCs w:val="20"/>
        </w:rPr>
        <w:t xml:space="preserve">Cornerstones for the new strategy are the </w:t>
      </w:r>
      <w:r w:rsidRPr="002641DF">
        <w:rPr>
          <w:rFonts w:ascii="Arial" w:hAnsi="Arial" w:cs="Arial"/>
          <w:i/>
          <w:sz w:val="20"/>
          <w:szCs w:val="20"/>
        </w:rPr>
        <w:t>integrated supply chain approach</w:t>
      </w:r>
      <w:r w:rsidRPr="002641DF">
        <w:rPr>
          <w:rFonts w:ascii="Arial" w:hAnsi="Arial" w:cs="Arial"/>
          <w:sz w:val="20"/>
          <w:szCs w:val="20"/>
        </w:rPr>
        <w:t xml:space="preserve">, the </w:t>
      </w:r>
      <w:r w:rsidRPr="002641DF">
        <w:rPr>
          <w:rFonts w:ascii="Arial" w:hAnsi="Arial" w:cs="Arial"/>
          <w:i/>
          <w:sz w:val="20"/>
          <w:szCs w:val="20"/>
        </w:rPr>
        <w:t>viable bus</w:t>
      </w:r>
      <w:r w:rsidRPr="002641DF">
        <w:rPr>
          <w:rFonts w:ascii="Arial" w:hAnsi="Arial" w:cs="Arial"/>
          <w:i/>
          <w:sz w:val="20"/>
          <w:szCs w:val="20"/>
        </w:rPr>
        <w:t>i</w:t>
      </w:r>
      <w:r w:rsidRPr="002641DF">
        <w:rPr>
          <w:rFonts w:ascii="Arial" w:hAnsi="Arial" w:cs="Arial"/>
          <w:i/>
          <w:sz w:val="20"/>
          <w:szCs w:val="20"/>
        </w:rPr>
        <w:t>ness case</w:t>
      </w:r>
      <w:r w:rsidRPr="002641DF">
        <w:rPr>
          <w:rFonts w:ascii="Arial" w:hAnsi="Arial" w:cs="Arial"/>
          <w:sz w:val="20"/>
          <w:szCs w:val="20"/>
        </w:rPr>
        <w:t xml:space="preserve"> (cost-effectiveness) for food loss reduction, and </w:t>
      </w:r>
      <w:r w:rsidRPr="002641DF">
        <w:rPr>
          <w:rFonts w:ascii="Arial" w:hAnsi="Arial" w:cs="Arial"/>
          <w:i/>
          <w:sz w:val="20"/>
          <w:szCs w:val="20"/>
        </w:rPr>
        <w:t xml:space="preserve">partnerships, </w:t>
      </w:r>
      <w:r w:rsidRPr="002641DF">
        <w:rPr>
          <w:rFonts w:ascii="Arial" w:hAnsi="Arial" w:cs="Arial"/>
          <w:sz w:val="20"/>
          <w:szCs w:val="20"/>
        </w:rPr>
        <w:t xml:space="preserve">both with  food chain actors and the public sector, to mobilize the required resources for action and to implement and/or support the intervention strategy. To build the partnerships and promote action FAO has launched the </w:t>
      </w:r>
      <w:r w:rsidRPr="002641DF">
        <w:rPr>
          <w:rFonts w:ascii="Arial" w:hAnsi="Arial" w:cs="Arial"/>
          <w:i/>
          <w:sz w:val="20"/>
          <w:szCs w:val="20"/>
        </w:rPr>
        <w:t>Global initiative on food loss and waste reduction.</w:t>
      </w:r>
    </w:p>
    <w:p w:rsidR="005536F0" w:rsidRDefault="005536F0"/>
    <w:sectPr w:rsidR="005536F0" w:rsidSect="002659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2641DF"/>
    <w:rsid w:val="002641DF"/>
    <w:rsid w:val="00553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1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1DF"/>
    <w:pPr>
      <w:spacing w:after="0" w:line="240" w:lineRule="auto"/>
      <w:ind w:left="720"/>
    </w:pPr>
    <w:rPr>
      <w:rFonts w:eastAsia="Times New Roman"/>
    </w:rPr>
  </w:style>
  <w:style w:type="character" w:styleId="Hyperlink">
    <w:name w:val="Hyperlink"/>
    <w:basedOn w:val="DefaultParagraphFont"/>
    <w:uiPriority w:val="99"/>
    <w:rsid w:val="002641D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russelsbriefings.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biasca</dc:creator>
  <cp:lastModifiedBy>biasca</cp:lastModifiedBy>
  <cp:revision>1</cp:revision>
  <dcterms:created xsi:type="dcterms:W3CDTF">2012-06-21T08:43:00Z</dcterms:created>
  <dcterms:modified xsi:type="dcterms:W3CDTF">2012-06-21T08:47:00Z</dcterms:modified>
</cp:coreProperties>
</file>